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73" w:rsidRPr="00AC3AA6" w:rsidRDefault="00AC3AA6" w:rsidP="00AC3AA6">
      <w:pPr>
        <w:jc w:val="center"/>
        <w:rPr>
          <w:b/>
        </w:rPr>
      </w:pPr>
      <w:r w:rsidRPr="00AC3AA6">
        <w:rPr>
          <w:b/>
          <w:noProof/>
        </w:rPr>
        <w:t>PROGRESS REPORT</w:t>
      </w:r>
    </w:p>
    <w:p w:rsidR="00F21273" w:rsidRPr="001441B5" w:rsidRDefault="00F21273" w:rsidP="00F21273"/>
    <w:p w:rsidR="00F25908" w:rsidRDefault="00EA39FA" w:rsidP="00F21273">
      <w:pPr>
        <w:rPr>
          <w:b/>
        </w:rPr>
      </w:pPr>
      <w:r w:rsidRPr="00EA39FA">
        <w:rPr>
          <w:b/>
        </w:rPr>
        <w:t xml:space="preserve">Author: </w:t>
      </w:r>
      <w:proofErr w:type="spellStart"/>
      <w:r w:rsidR="00F25908" w:rsidRPr="00F25908">
        <w:t>Dr</w:t>
      </w:r>
      <w:proofErr w:type="spellEnd"/>
      <w:r w:rsidR="00F25908" w:rsidRPr="00F25908">
        <w:t xml:space="preserve"> Kelly Bertram</w:t>
      </w:r>
    </w:p>
    <w:p w:rsidR="00F25908" w:rsidRPr="00F25908" w:rsidRDefault="00EA39FA" w:rsidP="00F21273">
      <w:r w:rsidRPr="00EA39FA">
        <w:rPr>
          <w:b/>
        </w:rPr>
        <w:t>Qualification:</w:t>
      </w:r>
      <w:r w:rsidR="00F25908" w:rsidRPr="00F25908">
        <w:t xml:space="preserve"> MBBS FRACP</w:t>
      </w:r>
    </w:p>
    <w:p w:rsidR="00F25908" w:rsidRPr="00F25908" w:rsidRDefault="00EA39FA" w:rsidP="00F21273">
      <w:r w:rsidRPr="00EA39FA">
        <w:rPr>
          <w:b/>
        </w:rPr>
        <w:t>Institution:</w:t>
      </w:r>
      <w:r w:rsidR="00F25908">
        <w:rPr>
          <w:b/>
        </w:rPr>
        <w:t xml:space="preserve">  </w:t>
      </w:r>
      <w:r w:rsidR="00F25908" w:rsidRPr="00F25908">
        <w:t xml:space="preserve">Van </w:t>
      </w:r>
      <w:proofErr w:type="spellStart"/>
      <w:r w:rsidR="00F25908" w:rsidRPr="00F25908">
        <w:t>Cleef</w:t>
      </w:r>
      <w:proofErr w:type="spellEnd"/>
      <w:r w:rsidR="00F25908" w:rsidRPr="00F25908">
        <w:t xml:space="preserve"> </w:t>
      </w:r>
      <w:proofErr w:type="spellStart"/>
      <w:r w:rsidR="00F25908" w:rsidRPr="00F25908">
        <w:t>Roet</w:t>
      </w:r>
      <w:proofErr w:type="spellEnd"/>
      <w:r w:rsidR="00F25908" w:rsidRPr="00F25908">
        <w:t xml:space="preserve"> Centre for Nervous Diseases, </w:t>
      </w:r>
      <w:proofErr w:type="spellStart"/>
      <w:r w:rsidR="00F25908" w:rsidRPr="00F25908">
        <w:t>Monash</w:t>
      </w:r>
      <w:proofErr w:type="spellEnd"/>
      <w:r w:rsidR="00F25908" w:rsidRPr="00F25908">
        <w:t xml:space="preserve"> University, Neurosciences, Alfred Hospital</w:t>
      </w:r>
    </w:p>
    <w:p w:rsidR="00F25908" w:rsidRPr="00F25908" w:rsidRDefault="00EA39FA" w:rsidP="00F25908">
      <w:r w:rsidRPr="00EA39FA">
        <w:rPr>
          <w:b/>
        </w:rPr>
        <w:t>Title of Project:</w:t>
      </w:r>
      <w:r w:rsidR="00F25908" w:rsidRPr="00F25908">
        <w:rPr>
          <w:i/>
        </w:rPr>
        <w:t xml:space="preserve"> </w:t>
      </w:r>
      <w:r w:rsidR="00F25908" w:rsidRPr="00F25908">
        <w:t xml:space="preserve">Transcranial Magnetic Stimulation in Progressive </w:t>
      </w:r>
      <w:proofErr w:type="spellStart"/>
      <w:r w:rsidR="00F25908" w:rsidRPr="00F25908">
        <w:t>Supranuclear</w:t>
      </w:r>
      <w:proofErr w:type="spellEnd"/>
      <w:r w:rsidR="00F25908" w:rsidRPr="00F25908">
        <w:t xml:space="preserve"> Palsy</w:t>
      </w:r>
    </w:p>
    <w:p w:rsidR="00F25908" w:rsidRDefault="00EA39FA" w:rsidP="00F21273">
      <w:pPr>
        <w:rPr>
          <w:b/>
        </w:rPr>
      </w:pPr>
      <w:r w:rsidRPr="00EA39FA">
        <w:rPr>
          <w:b/>
        </w:rPr>
        <w:t>Summ</w:t>
      </w:r>
      <w:r w:rsidR="00AC3AA6">
        <w:rPr>
          <w:b/>
        </w:rPr>
        <w:t xml:space="preserve">ary: </w:t>
      </w:r>
      <w:bookmarkStart w:id="0" w:name="_GoBack"/>
      <w:bookmarkEnd w:id="0"/>
    </w:p>
    <w:p w:rsidR="00F25908" w:rsidRDefault="00F25908" w:rsidP="00F21273">
      <w:pPr>
        <w:rPr>
          <w:b/>
        </w:rPr>
      </w:pPr>
    </w:p>
    <w:p w:rsidR="00F25908" w:rsidRPr="00354677" w:rsidRDefault="00F25908" w:rsidP="00F25908">
      <w:pPr>
        <w:rPr>
          <w:noProof/>
        </w:rPr>
      </w:pPr>
      <w:r w:rsidRPr="00354677">
        <w:rPr>
          <w:noProof/>
        </w:rPr>
        <w:t xml:space="preserve">Neurodegenerative disorders  are a common cause of disability in the community, and treatment options for these are currently very limited. </w:t>
      </w:r>
    </w:p>
    <w:p w:rsidR="00F25908" w:rsidRPr="00354677" w:rsidRDefault="00F25908" w:rsidP="00F25908">
      <w:pPr>
        <w:rPr>
          <w:noProof/>
        </w:rPr>
      </w:pPr>
    </w:p>
    <w:p w:rsidR="00F25908" w:rsidRPr="00354677" w:rsidRDefault="00F25908" w:rsidP="00F25908">
      <w:pPr>
        <w:rPr>
          <w:noProof/>
        </w:rPr>
      </w:pPr>
      <w:r w:rsidRPr="00354677">
        <w:rPr>
          <w:noProof/>
        </w:rPr>
        <w:t>Progressive Supranuclear Palsy (PSP) is a rapidly progressi</w:t>
      </w:r>
      <w:r>
        <w:rPr>
          <w:noProof/>
        </w:rPr>
        <w:t>ng</w:t>
      </w:r>
      <w:r w:rsidRPr="00354677">
        <w:rPr>
          <w:noProof/>
        </w:rPr>
        <w:t xml:space="preserve"> dis</w:t>
      </w:r>
      <w:r>
        <w:rPr>
          <w:noProof/>
        </w:rPr>
        <w:t>ease</w:t>
      </w:r>
      <w:r w:rsidRPr="00354677">
        <w:rPr>
          <w:noProof/>
        </w:rPr>
        <w:t xml:space="preserve"> for which there is currently no diagnostic test or any treatment. It affects </w:t>
      </w:r>
      <w:r>
        <w:rPr>
          <w:noProof/>
        </w:rPr>
        <w:t xml:space="preserve">around 7 people </w:t>
      </w:r>
      <w:r w:rsidRPr="00354677">
        <w:rPr>
          <w:noProof/>
        </w:rPr>
        <w:t xml:space="preserve"> in 100,000 over the age of 40 causing </w:t>
      </w:r>
      <w:r>
        <w:rPr>
          <w:noProof/>
        </w:rPr>
        <w:t>poor balance</w:t>
      </w:r>
      <w:r w:rsidRPr="00354677">
        <w:rPr>
          <w:noProof/>
        </w:rPr>
        <w:t xml:space="preserve"> that leads to frequent falls, eye movement abnormalities and </w:t>
      </w:r>
      <w:r>
        <w:rPr>
          <w:noProof/>
        </w:rPr>
        <w:t>thinking difficulties</w:t>
      </w:r>
      <w:r w:rsidRPr="00354677">
        <w:rPr>
          <w:noProof/>
        </w:rPr>
        <w:t xml:space="preserve">. </w:t>
      </w:r>
      <w:r>
        <w:rPr>
          <w:noProof/>
        </w:rPr>
        <w:t xml:space="preserve">On </w:t>
      </w:r>
      <w:r w:rsidRPr="00354677">
        <w:rPr>
          <w:noProof/>
        </w:rPr>
        <w:t xml:space="preserve">average </w:t>
      </w:r>
      <w:r>
        <w:rPr>
          <w:noProof/>
        </w:rPr>
        <w:t xml:space="preserve">the </w:t>
      </w:r>
      <w:r w:rsidRPr="00354677">
        <w:rPr>
          <w:noProof/>
        </w:rPr>
        <w:t xml:space="preserve">time from </w:t>
      </w:r>
      <w:r>
        <w:rPr>
          <w:noProof/>
        </w:rPr>
        <w:t xml:space="preserve">the start of disease </w:t>
      </w:r>
      <w:r w:rsidRPr="00354677">
        <w:rPr>
          <w:noProof/>
        </w:rPr>
        <w:t>to death is around eight years. The diagnosis of patients</w:t>
      </w:r>
      <w:r>
        <w:rPr>
          <w:noProof/>
        </w:rPr>
        <w:t xml:space="preserve"> with PSP, and separating them from patients with Parkinson’s disease, </w:t>
      </w:r>
      <w:r w:rsidRPr="00354677">
        <w:rPr>
          <w:noProof/>
        </w:rPr>
        <w:t xml:space="preserve">relies on clinician experience, as there are no diagnostic tests which are able to accurately distinguish these conditions early in the disease course. </w:t>
      </w:r>
    </w:p>
    <w:p w:rsidR="00F25908" w:rsidRPr="00354677" w:rsidRDefault="00F25908" w:rsidP="00F25908">
      <w:pPr>
        <w:rPr>
          <w:noProof/>
        </w:rPr>
      </w:pPr>
    </w:p>
    <w:p w:rsidR="00F25908" w:rsidRDefault="00F25908" w:rsidP="00F25908">
      <w:pPr>
        <w:rPr>
          <w:noProof/>
        </w:rPr>
      </w:pPr>
      <w:r w:rsidRPr="00354677">
        <w:rPr>
          <w:noProof/>
        </w:rPr>
        <w:t>Transcranial Magnetic Stimulation (</w:t>
      </w:r>
      <w:smartTag w:uri="urn:schemas-microsoft-com:office:smarttags" w:element="stockticker">
        <w:r w:rsidRPr="00354677">
          <w:rPr>
            <w:noProof/>
          </w:rPr>
          <w:t>TMS</w:t>
        </w:r>
      </w:smartTag>
      <w:r w:rsidRPr="00354677">
        <w:rPr>
          <w:noProof/>
        </w:rPr>
        <w:t xml:space="preserve">) </w:t>
      </w:r>
      <w:r>
        <w:rPr>
          <w:noProof/>
        </w:rPr>
        <w:t xml:space="preserve">is a new technology used to activate small parts of the brain using a </w:t>
      </w:r>
      <w:r w:rsidRPr="00354677">
        <w:rPr>
          <w:noProof/>
        </w:rPr>
        <w:t xml:space="preserve">handheld magnetic coil to induce an electrical field. </w:t>
      </w:r>
      <w:smartTag w:uri="urn:schemas-microsoft-com:office:smarttags" w:element="stockticker">
        <w:r w:rsidRPr="00354677">
          <w:rPr>
            <w:noProof/>
          </w:rPr>
          <w:t>TMS</w:t>
        </w:r>
      </w:smartTag>
      <w:r w:rsidRPr="00354677">
        <w:rPr>
          <w:noProof/>
        </w:rPr>
        <w:t xml:space="preserve"> is being utilised in the</w:t>
      </w:r>
      <w:r>
        <w:rPr>
          <w:noProof/>
        </w:rPr>
        <w:t xml:space="preserve"> research related to a number </w:t>
      </w:r>
      <w:r w:rsidRPr="00354677">
        <w:rPr>
          <w:noProof/>
        </w:rPr>
        <w:t>of neurological conditions</w:t>
      </w:r>
      <w:r>
        <w:rPr>
          <w:noProof/>
        </w:rPr>
        <w:t xml:space="preserve"> in Australia and</w:t>
      </w:r>
      <w:r w:rsidRPr="00354677">
        <w:rPr>
          <w:noProof/>
        </w:rPr>
        <w:t xml:space="preserve"> around the world as it provides a</w:t>
      </w:r>
      <w:r>
        <w:rPr>
          <w:noProof/>
        </w:rPr>
        <w:t xml:space="preserve"> </w:t>
      </w:r>
      <w:r w:rsidRPr="00354677">
        <w:rPr>
          <w:noProof/>
        </w:rPr>
        <w:t xml:space="preserve">non-invasive method to measure </w:t>
      </w:r>
      <w:r>
        <w:rPr>
          <w:noProof/>
        </w:rPr>
        <w:t xml:space="preserve">brain </w:t>
      </w:r>
      <w:r w:rsidRPr="00354677">
        <w:rPr>
          <w:noProof/>
        </w:rPr>
        <w:t xml:space="preserve">dysfunction. </w:t>
      </w:r>
    </w:p>
    <w:p w:rsidR="00F25908" w:rsidRDefault="00F25908" w:rsidP="00F25908">
      <w:pPr>
        <w:rPr>
          <w:noProof/>
        </w:rPr>
      </w:pPr>
    </w:p>
    <w:p w:rsidR="00F25908" w:rsidRPr="00354677" w:rsidRDefault="00F25908" w:rsidP="00F25908">
      <w:pPr>
        <w:rPr>
          <w:noProof/>
        </w:rPr>
      </w:pPr>
      <w:r>
        <w:rPr>
          <w:noProof/>
        </w:rPr>
        <w:t xml:space="preserve">A previous study has shown abnormalities in brain excitation </w:t>
      </w:r>
      <w:r w:rsidRPr="00354677">
        <w:rPr>
          <w:noProof/>
        </w:rPr>
        <w:t xml:space="preserve">in PSP </w:t>
      </w:r>
      <w:r>
        <w:rPr>
          <w:noProof/>
        </w:rPr>
        <w:t xml:space="preserve">could be measured with TMS. This has the potential to </w:t>
      </w:r>
      <w:r w:rsidRPr="000D5870">
        <w:rPr>
          <w:noProof/>
        </w:rPr>
        <w:t xml:space="preserve">provide a method for </w:t>
      </w:r>
      <w:r>
        <w:rPr>
          <w:noProof/>
        </w:rPr>
        <w:t xml:space="preserve">measuring </w:t>
      </w:r>
      <w:r w:rsidRPr="000D5870">
        <w:rPr>
          <w:noProof/>
        </w:rPr>
        <w:t xml:space="preserve">disease progression by directly measuring the evolution of </w:t>
      </w:r>
      <w:r>
        <w:rPr>
          <w:noProof/>
        </w:rPr>
        <w:t xml:space="preserve">brain </w:t>
      </w:r>
      <w:r w:rsidRPr="000D5870">
        <w:rPr>
          <w:noProof/>
        </w:rPr>
        <w:t xml:space="preserve">dysfunction in PSP; and </w:t>
      </w:r>
      <w:r>
        <w:rPr>
          <w:noProof/>
        </w:rPr>
        <w:t>to</w:t>
      </w:r>
      <w:r w:rsidRPr="000D5870">
        <w:rPr>
          <w:noProof/>
        </w:rPr>
        <w:t xml:space="preserve"> provide a technique for separating PSP from other Parkinsonian syndromes</w:t>
      </w:r>
      <w:r>
        <w:rPr>
          <w:noProof/>
        </w:rPr>
        <w:t xml:space="preserve">. </w:t>
      </w:r>
      <w:r w:rsidRPr="00354677">
        <w:rPr>
          <w:noProof/>
        </w:rPr>
        <w:t>The earlier, accurate diagnosis of this disorder by objective means would be useful clinically, but would also enable possible treatment options to be studied more accurately and efficiently</w:t>
      </w:r>
      <w:r>
        <w:rPr>
          <w:noProof/>
        </w:rPr>
        <w:t>.</w:t>
      </w:r>
    </w:p>
    <w:p w:rsidR="00F25908" w:rsidRDefault="00F25908" w:rsidP="00F25908">
      <w:pPr>
        <w:spacing w:before="120"/>
        <w:rPr>
          <w:noProof/>
        </w:rPr>
      </w:pPr>
      <w:r w:rsidRPr="00354677">
        <w:rPr>
          <w:noProof/>
        </w:rPr>
        <w:t xml:space="preserve">The intention of this project </w:t>
      </w:r>
      <w:r>
        <w:rPr>
          <w:noProof/>
        </w:rPr>
        <w:t>was</w:t>
      </w:r>
      <w:r w:rsidRPr="00354677">
        <w:rPr>
          <w:noProof/>
        </w:rPr>
        <w:t xml:space="preserve"> to </w:t>
      </w:r>
      <w:r>
        <w:rPr>
          <w:noProof/>
        </w:rPr>
        <w:t xml:space="preserve">determine if these findings could be replicated in another group of people with PSP in Australia and </w:t>
      </w:r>
      <w:r w:rsidRPr="00354677">
        <w:rPr>
          <w:noProof/>
        </w:rPr>
        <w:t xml:space="preserve">compare the response to these </w:t>
      </w:r>
      <w:smartTag w:uri="urn:schemas-microsoft-com:office:smarttags" w:element="stockticker">
        <w:r w:rsidRPr="00354677">
          <w:rPr>
            <w:noProof/>
          </w:rPr>
          <w:t>TMS</w:t>
        </w:r>
      </w:smartTag>
      <w:r w:rsidRPr="00354677">
        <w:rPr>
          <w:noProof/>
        </w:rPr>
        <w:t xml:space="preserve"> </w:t>
      </w:r>
      <w:r>
        <w:rPr>
          <w:noProof/>
        </w:rPr>
        <w:t xml:space="preserve">studies </w:t>
      </w:r>
      <w:r w:rsidRPr="00354677">
        <w:rPr>
          <w:noProof/>
        </w:rPr>
        <w:t xml:space="preserve">in people with </w:t>
      </w:r>
      <w:r>
        <w:rPr>
          <w:noProof/>
        </w:rPr>
        <w:t>different diseases which have similar clinical features, Parkinson’s disease and Multiple System Atrophy</w:t>
      </w:r>
      <w:r w:rsidR="00E96C22">
        <w:rPr>
          <w:noProof/>
        </w:rPr>
        <w:t xml:space="preserve"> (MSA)</w:t>
      </w:r>
      <w:r w:rsidRPr="00354677">
        <w:rPr>
          <w:noProof/>
        </w:rPr>
        <w:t xml:space="preserve">. This will </w:t>
      </w:r>
      <w:r>
        <w:rPr>
          <w:noProof/>
        </w:rPr>
        <w:t xml:space="preserve">help us </w:t>
      </w:r>
      <w:r w:rsidRPr="00354677">
        <w:rPr>
          <w:noProof/>
        </w:rPr>
        <w:t xml:space="preserve">determine if these findings are reproducable and disease specific. </w:t>
      </w:r>
    </w:p>
    <w:p w:rsidR="00F25908" w:rsidRDefault="00F25908" w:rsidP="00F25908">
      <w:pPr>
        <w:spacing w:before="120"/>
        <w:rPr>
          <w:noProof/>
        </w:rPr>
      </w:pPr>
      <w:r>
        <w:rPr>
          <w:noProof/>
        </w:rPr>
        <w:t xml:space="preserve">This study investigated </w:t>
      </w:r>
      <w:r w:rsidR="00A1253E">
        <w:rPr>
          <w:noProof/>
        </w:rPr>
        <w:t>20 p</w:t>
      </w:r>
      <w:r>
        <w:rPr>
          <w:noProof/>
        </w:rPr>
        <w:t xml:space="preserve">eople suffering PSP, as well as 8 people suffering </w:t>
      </w:r>
      <w:r w:rsidR="00A1253E">
        <w:rPr>
          <w:noProof/>
        </w:rPr>
        <w:t>MSA,</w:t>
      </w:r>
      <w:r>
        <w:rPr>
          <w:noProof/>
        </w:rPr>
        <w:t xml:space="preserve"> and to date 6 people with Parkinson’s disease</w:t>
      </w:r>
      <w:r w:rsidR="00A1253E">
        <w:rPr>
          <w:noProof/>
        </w:rPr>
        <w:t xml:space="preserve"> in addition to 12 healthy control subjects. </w:t>
      </w:r>
    </w:p>
    <w:p w:rsidR="00F25908" w:rsidRDefault="00F25908" w:rsidP="00F25908">
      <w:pPr>
        <w:spacing w:before="120"/>
        <w:rPr>
          <w:noProof/>
        </w:rPr>
      </w:pPr>
      <w:r>
        <w:rPr>
          <w:noProof/>
        </w:rPr>
        <w:t xml:space="preserve">Baseline TMS assessments of participants show abnormalities in all parkinsonian conditions compared with a healthy control group, consistent with previous reported studies. </w:t>
      </w:r>
      <w:r w:rsidR="00E96C22">
        <w:rPr>
          <w:noProof/>
        </w:rPr>
        <w:t xml:space="preserve"> In particular those with parkinsonian conditions lacked a SICI response</w:t>
      </w:r>
      <w:r w:rsidR="001A162A">
        <w:rPr>
          <w:noProof/>
        </w:rPr>
        <w:t>, a measure of surround inhibition in the brain in response to a conditioning stimulus. This is in keeping with previous studies in disorders of the basal ganglia. Our</w:t>
      </w:r>
      <w:r>
        <w:rPr>
          <w:noProof/>
        </w:rPr>
        <w:t xml:space="preserve"> study also showed differences in brain excitability between</w:t>
      </w:r>
      <w:r w:rsidR="00E96C22">
        <w:rPr>
          <w:noProof/>
        </w:rPr>
        <w:t xml:space="preserve"> those with PSP and MSA with a much greater response to excitability testing in those with PSP, as was predicted from previous studies</w:t>
      </w:r>
      <w:r w:rsidR="001A162A">
        <w:rPr>
          <w:noProof/>
        </w:rPr>
        <w:t xml:space="preserve"> and the involvement of cortical interneurones in PSP pathology</w:t>
      </w:r>
      <w:r w:rsidR="00E96C22">
        <w:rPr>
          <w:noProof/>
        </w:rPr>
        <w:t xml:space="preserve">. </w:t>
      </w:r>
    </w:p>
    <w:p w:rsidR="00F25908" w:rsidRDefault="00E96C22" w:rsidP="00F25908">
      <w:pPr>
        <w:spacing w:before="120"/>
        <w:rPr>
          <w:noProof/>
        </w:rPr>
      </w:pPr>
      <w:r>
        <w:rPr>
          <w:noProof/>
        </w:rPr>
        <w:t>To date, 13 participants</w:t>
      </w:r>
      <w:r w:rsidR="00F25908">
        <w:rPr>
          <w:noProof/>
        </w:rPr>
        <w:t xml:space="preserve"> with PSP have returned for 12 month followup assessments. They have shown a greater facilitation response to the followup assessments than at baseline, with </w:t>
      </w:r>
      <w:r w:rsidR="00F25908">
        <w:rPr>
          <w:noProof/>
        </w:rPr>
        <w:lastRenderedPageBreak/>
        <w:t>a moderate correlation between this increased response and the increase in their clinical symptoms based on the current PSP rating scale.</w:t>
      </w:r>
      <w:r>
        <w:rPr>
          <w:noProof/>
        </w:rPr>
        <w:t xml:space="preserve"> This data has been recently presented at the International Parkinson and Movement Disorder Society International Congress in Stockholm in June 2014. </w:t>
      </w:r>
    </w:p>
    <w:p w:rsidR="00F25908" w:rsidRDefault="00F25908" w:rsidP="00F21273">
      <w:pPr>
        <w:rPr>
          <w:b/>
        </w:rPr>
      </w:pPr>
    </w:p>
    <w:p w:rsidR="00F25908" w:rsidRDefault="00EA39FA" w:rsidP="00F21273">
      <w:pPr>
        <w:rPr>
          <w:b/>
        </w:rPr>
      </w:pPr>
      <w:r w:rsidRPr="00EA39FA">
        <w:rPr>
          <w:b/>
        </w:rPr>
        <w:t>Hypothesis vs Findings</w:t>
      </w:r>
    </w:p>
    <w:p w:rsidR="005F682E" w:rsidRPr="00EE7950" w:rsidRDefault="005F682E" w:rsidP="005F682E">
      <w:pPr>
        <w:rPr>
          <w:noProof/>
        </w:rPr>
      </w:pPr>
      <w:r w:rsidRPr="00EE7950">
        <w:rPr>
          <w:noProof/>
        </w:rPr>
        <w:t xml:space="preserve">Hypothesis 1: </w:t>
      </w:r>
      <w:smartTag w:uri="urn:schemas-microsoft-com:office:smarttags" w:element="stockticker">
        <w:r w:rsidRPr="00EE7950">
          <w:rPr>
            <w:noProof/>
          </w:rPr>
          <w:t>TMS</w:t>
        </w:r>
      </w:smartTag>
      <w:r w:rsidRPr="00EE7950">
        <w:rPr>
          <w:noProof/>
        </w:rPr>
        <w:t xml:space="preserve"> paradigms can be used to measure interneuronal dysfunction in clinically diagnosed PSP</w:t>
      </w:r>
    </w:p>
    <w:p w:rsidR="005F682E" w:rsidRPr="00EE7950" w:rsidRDefault="005F682E" w:rsidP="005F682E">
      <w:pPr>
        <w:rPr>
          <w:noProof/>
        </w:rPr>
      </w:pPr>
      <w:r w:rsidRPr="00EE7950">
        <w:rPr>
          <w:noProof/>
        </w:rPr>
        <w:t xml:space="preserve">Hypothesis 2: </w:t>
      </w:r>
      <w:smartTag w:uri="urn:schemas-microsoft-com:office:smarttags" w:element="stockticker">
        <w:r w:rsidRPr="00EE7950">
          <w:rPr>
            <w:noProof/>
          </w:rPr>
          <w:t>TMS</w:t>
        </w:r>
      </w:smartTag>
      <w:r w:rsidRPr="00EE7950">
        <w:rPr>
          <w:noProof/>
        </w:rPr>
        <w:t xml:space="preserve"> measurements of interneuronal dysfunction are able to distingush between PSP and other forms of parkinsonism, namely Parkinson’s disease and Multiple System Atrophy</w:t>
      </w:r>
    </w:p>
    <w:p w:rsidR="005F682E" w:rsidRPr="00EE7950" w:rsidRDefault="005F682E" w:rsidP="005F682E">
      <w:pPr>
        <w:rPr>
          <w:noProof/>
        </w:rPr>
      </w:pPr>
      <w:r w:rsidRPr="00EE7950">
        <w:rPr>
          <w:noProof/>
        </w:rPr>
        <w:t xml:space="preserve">Hypothesis 3: </w:t>
      </w:r>
      <w:smartTag w:uri="urn:schemas-microsoft-com:office:smarttags" w:element="stockticker">
        <w:r w:rsidRPr="00EE7950">
          <w:rPr>
            <w:noProof/>
          </w:rPr>
          <w:t>TMS</w:t>
        </w:r>
      </w:smartTag>
      <w:r w:rsidRPr="00EE7950">
        <w:rPr>
          <w:noProof/>
        </w:rPr>
        <w:t xml:space="preserve"> measurements of interneuronal dysfunction in PSP progress over time</w:t>
      </w:r>
    </w:p>
    <w:p w:rsidR="005F682E" w:rsidRDefault="005F682E" w:rsidP="00F21273">
      <w:pPr>
        <w:rPr>
          <w:b/>
        </w:rPr>
      </w:pPr>
    </w:p>
    <w:p w:rsidR="005F682E" w:rsidRDefault="005F682E" w:rsidP="00F21273">
      <w:pPr>
        <w:rPr>
          <w:b/>
        </w:rPr>
      </w:pPr>
      <w:r>
        <w:rPr>
          <w:b/>
        </w:rPr>
        <w:t>Findings:</w:t>
      </w:r>
    </w:p>
    <w:p w:rsidR="005F682E" w:rsidRDefault="005F682E" w:rsidP="00F21273">
      <w:r w:rsidRPr="005F682E">
        <w:t xml:space="preserve">Hypothesis </w:t>
      </w:r>
      <w:r>
        <w:t xml:space="preserve">1: </w:t>
      </w:r>
      <w:r w:rsidRPr="005F682E">
        <w:t xml:space="preserve">We have shown that </w:t>
      </w:r>
      <w:proofErr w:type="spellStart"/>
      <w:r w:rsidRPr="005F682E">
        <w:t>interneuronal</w:t>
      </w:r>
      <w:proofErr w:type="spellEnd"/>
      <w:r w:rsidRPr="005F682E">
        <w:t xml:space="preserve"> dysfunction can be measured in people with PSP, both the typical Richardson’s and less common </w:t>
      </w:r>
      <w:proofErr w:type="spellStart"/>
      <w:r w:rsidRPr="005F682E">
        <w:t>Parkinsonian</w:t>
      </w:r>
      <w:proofErr w:type="spellEnd"/>
      <w:r w:rsidRPr="005F682E">
        <w:t xml:space="preserve"> variants of the clinically defined disease. Unfortunately there is significant variability within this group in terms of their responses to the TMS stimulation, and it is not yet clear if with disease progression these findings may become more consistent across subjects. </w:t>
      </w:r>
    </w:p>
    <w:p w:rsidR="005F682E" w:rsidRDefault="005F682E" w:rsidP="00F21273"/>
    <w:p w:rsidR="005F682E" w:rsidRDefault="005F682E" w:rsidP="00F21273">
      <w:r>
        <w:t xml:space="preserve">Hypothesis 2: </w:t>
      </w:r>
      <w:r w:rsidR="00E96C22">
        <w:t xml:space="preserve">The difference in cortical excitability recordings is significant between groups, however on an individual basis there is significant variability and it does not appear that a simple TMS “test” would be able to reliably diagnose a person’s condition accurately. The numbers of participants with Parkinson’s disease is currently still a small group, and as this group is still being actively recruited this may provide further information to guide future studies towards this aim. </w:t>
      </w:r>
    </w:p>
    <w:p w:rsidR="005F682E" w:rsidRDefault="005F682E" w:rsidP="00F21273"/>
    <w:p w:rsidR="005F682E" w:rsidRPr="005F682E" w:rsidRDefault="005F682E" w:rsidP="00F21273">
      <w:r>
        <w:t xml:space="preserve">Hypothesis 3: Some measures of </w:t>
      </w:r>
      <w:proofErr w:type="spellStart"/>
      <w:r>
        <w:t>interneuronal</w:t>
      </w:r>
      <w:proofErr w:type="spellEnd"/>
      <w:r>
        <w:t xml:space="preserve"> dysfunction as measured by TMS can be shown to progress over time in PSP, though the variability inherent in TMS studies means there is some uncertainty whether this can be reliably used as a measure of disease progression independent of clinical features. </w:t>
      </w:r>
    </w:p>
    <w:p w:rsidR="005F682E" w:rsidRDefault="005F682E" w:rsidP="00F21273">
      <w:pPr>
        <w:rPr>
          <w:b/>
        </w:rPr>
      </w:pPr>
    </w:p>
    <w:p w:rsidR="00F25908" w:rsidRDefault="00EA39FA" w:rsidP="00F21273">
      <w:pPr>
        <w:rPr>
          <w:b/>
        </w:rPr>
      </w:pPr>
      <w:r w:rsidRPr="00EA39FA">
        <w:rPr>
          <w:b/>
        </w:rPr>
        <w:t>Unanswered Questions</w:t>
      </w:r>
    </w:p>
    <w:p w:rsidR="00E96C22" w:rsidRDefault="00E96C22" w:rsidP="00F21273">
      <w:pPr>
        <w:rPr>
          <w:b/>
        </w:rPr>
      </w:pPr>
    </w:p>
    <w:p w:rsidR="005F682E" w:rsidRPr="00E96C22" w:rsidRDefault="005F682E" w:rsidP="00F21273">
      <w:r w:rsidRPr="00E96C22">
        <w:t xml:space="preserve">Participants in this study were included at different stages of clinical disease and it is not yet clear if the recordings may become more reliable in an individual with more advanced disease. This will be looked at with further study of the included participants out to two years from their baseline visit. </w:t>
      </w:r>
    </w:p>
    <w:p w:rsidR="005F682E" w:rsidRPr="00E96C22" w:rsidRDefault="005F682E" w:rsidP="00F21273">
      <w:r w:rsidRPr="00E96C22">
        <w:t xml:space="preserve"> </w:t>
      </w:r>
    </w:p>
    <w:p w:rsidR="005F682E" w:rsidRPr="00E96C22" w:rsidRDefault="00E96C22" w:rsidP="00F21273">
      <w:r w:rsidRPr="00E96C22">
        <w:t xml:space="preserve">Increasing the numbers of people with Parkinson’s disease studied will assist in determining the reliability TMS markers to distinguish between this and the atypical </w:t>
      </w:r>
      <w:proofErr w:type="spellStart"/>
      <w:r w:rsidRPr="00E96C22">
        <w:t>parkinsonian</w:t>
      </w:r>
      <w:proofErr w:type="spellEnd"/>
      <w:r w:rsidRPr="00E96C22">
        <w:t xml:space="preserve"> conditions. This component of the study is ongoing and likely to direct future research in the department. </w:t>
      </w:r>
    </w:p>
    <w:p w:rsidR="005F682E" w:rsidRDefault="005F682E" w:rsidP="00F21273">
      <w:pPr>
        <w:rPr>
          <w:b/>
        </w:rPr>
      </w:pPr>
    </w:p>
    <w:p w:rsidR="00F25908" w:rsidRDefault="00EA39FA" w:rsidP="00F25908">
      <w:pPr>
        <w:spacing w:before="120"/>
        <w:rPr>
          <w:noProof/>
        </w:rPr>
      </w:pPr>
      <w:r w:rsidRPr="00EA39FA">
        <w:rPr>
          <w:b/>
        </w:rPr>
        <w:t>What these research outcomes mean</w:t>
      </w:r>
      <w:r w:rsidR="00F25908" w:rsidRPr="00F25908">
        <w:rPr>
          <w:noProof/>
        </w:rPr>
        <w:t xml:space="preserve"> </w:t>
      </w:r>
    </w:p>
    <w:p w:rsidR="00F25908" w:rsidRDefault="00F25908" w:rsidP="00F25908">
      <w:pPr>
        <w:spacing w:before="120"/>
        <w:rPr>
          <w:noProof/>
        </w:rPr>
      </w:pPr>
      <w:r>
        <w:rPr>
          <w:noProof/>
        </w:rPr>
        <w:t>These results show this method of assessment may be of some value in measuring disease progression in PSP. There was significant variability between subjects in their responses, and the role of this method therefore requires further study.</w:t>
      </w:r>
      <w:r w:rsidR="000B62F5">
        <w:rPr>
          <w:noProof/>
        </w:rPr>
        <w:t xml:space="preserve"> It is most likely that a composite </w:t>
      </w:r>
      <w:r w:rsidR="000B62F5">
        <w:rPr>
          <w:noProof/>
        </w:rPr>
        <w:lastRenderedPageBreak/>
        <w:t>marker using TMS and clinical variables will prove to be the most accurate measure of diseae progression in this condition.</w:t>
      </w:r>
    </w:p>
    <w:p w:rsidR="00F25908" w:rsidRDefault="00F25908" w:rsidP="00F25908">
      <w:pPr>
        <w:spacing w:before="120"/>
        <w:rPr>
          <w:noProof/>
        </w:rPr>
      </w:pPr>
      <w:r>
        <w:rPr>
          <w:noProof/>
        </w:rPr>
        <w:t xml:space="preserve">In the first instance we plan to increase the number of people with Parkinson’s disease in this study to determine if the difference seen between responses in this and the atypical parkinsonian disorders is reliable. If so this could be of significant value in assisting early diagnosis for these conditions. </w:t>
      </w:r>
    </w:p>
    <w:p w:rsidR="000B62F5" w:rsidRDefault="000B62F5" w:rsidP="00F25908">
      <w:pPr>
        <w:spacing w:before="120"/>
        <w:rPr>
          <w:noProof/>
        </w:rPr>
      </w:pPr>
    </w:p>
    <w:p w:rsidR="000B62F5" w:rsidRDefault="000B62F5" w:rsidP="00F25908">
      <w:pPr>
        <w:spacing w:before="120"/>
        <w:rPr>
          <w:noProof/>
        </w:rPr>
      </w:pPr>
      <w:r w:rsidRPr="001015E0">
        <w:rPr>
          <w:noProof/>
          <w:lang w:val="en-AU" w:eastAsia="en-AU"/>
        </w:rPr>
        <mc:AlternateContent>
          <mc:Choice Requires="wps">
            <w:drawing>
              <wp:anchor distT="0" distB="0" distL="114300" distR="114300" simplePos="0" relativeHeight="251659264" behindDoc="0" locked="0" layoutInCell="1" allowOverlap="1" wp14:anchorId="0CCD6B6B" wp14:editId="3F9E9115">
                <wp:simplePos x="0" y="0"/>
                <wp:positionH relativeFrom="column">
                  <wp:posOffset>0</wp:posOffset>
                </wp:positionH>
                <wp:positionV relativeFrom="paragraph">
                  <wp:posOffset>152400</wp:posOffset>
                </wp:positionV>
                <wp:extent cx="5610225" cy="47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76250"/>
                        </a:xfrm>
                        <a:prstGeom prst="rect">
                          <a:avLst/>
                        </a:prstGeom>
                        <a:solidFill>
                          <a:srgbClr val="FFFFFF"/>
                        </a:solidFill>
                        <a:ln w="9525">
                          <a:solidFill>
                            <a:srgbClr val="000000"/>
                          </a:solidFill>
                          <a:miter lim="800000"/>
                          <a:headEnd/>
                          <a:tailEnd/>
                        </a:ln>
                      </wps:spPr>
                      <wps:txbx>
                        <w:txbxContent>
                          <w:p w:rsidR="00F25908" w:rsidRDefault="00F25908" w:rsidP="00F25908">
                            <w:r>
                              <w:t>Excitability recordings of people with PSP at baseline and 12 month assessments</w:t>
                            </w:r>
                            <w:r w:rsidR="000B62F5">
                              <w:t xml:space="preserve"> (graph one)</w:t>
                            </w:r>
                          </w:p>
                          <w:p w:rsidR="000B62F5" w:rsidRDefault="000B62F5" w:rsidP="00F25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44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qMIwIAAEY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">
                <v:textbox>
                  <w:txbxContent>
                    <w:p w:rsidR="00F25908" w:rsidRDefault="00F25908" w:rsidP="00F25908">
                      <w:r>
                        <w:t>Excitability recordings of people with PSP at baseline and 12 month assessments</w:t>
                      </w:r>
                      <w:r w:rsidR="000B62F5">
                        <w:t xml:space="preserve"> (graph one)</w:t>
                      </w:r>
                    </w:p>
                    <w:p w:rsidR="000B62F5" w:rsidRDefault="000B62F5" w:rsidP="00F25908"/>
                  </w:txbxContent>
                </v:textbox>
              </v:shape>
            </w:pict>
          </mc:Fallback>
        </mc:AlternateContent>
      </w:r>
    </w:p>
    <w:p w:rsidR="00F25908" w:rsidRDefault="00F25908" w:rsidP="00F25908">
      <w:pPr>
        <w:spacing w:before="120"/>
        <w:rPr>
          <w:noProof/>
        </w:rPr>
      </w:pPr>
    </w:p>
    <w:p w:rsidR="00F25908" w:rsidRDefault="00F25908" w:rsidP="00F25908">
      <w:pPr>
        <w:spacing w:before="120"/>
        <w:rPr>
          <w:noProof/>
        </w:rPr>
      </w:pPr>
      <w:r w:rsidRPr="001015E0">
        <w:rPr>
          <w:noProof/>
          <w:lang w:val="en-AU" w:eastAsia="en-AU"/>
        </w:rPr>
        <w:drawing>
          <wp:inline distT="0" distB="0" distL="0" distR="0" wp14:anchorId="7B741D0E" wp14:editId="308BA24A">
            <wp:extent cx="4305300" cy="1981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F682E" w:rsidRDefault="005F682E" w:rsidP="00F25908">
      <w:pPr>
        <w:spacing w:before="120"/>
        <w:rPr>
          <w:noProof/>
        </w:rPr>
      </w:pPr>
    </w:p>
    <w:p w:rsidR="000B62F5" w:rsidRPr="000B62F5" w:rsidRDefault="000B62F5" w:rsidP="000B62F5">
      <w:pPr>
        <w:spacing w:before="120"/>
        <w:rPr>
          <w:noProof/>
          <w:lang w:val="en-AU"/>
        </w:rPr>
      </w:pPr>
      <w:r w:rsidRPr="000B62F5">
        <w:rPr>
          <w:noProof/>
          <w:lang w:val="en-GB"/>
        </w:rPr>
        <w:t xml:space="preserve">A correlation of R=0.57  (p=0.056) was seen between the changes in the degree of post-iTBS MEP facilitation between the baseline and 12 month assessment and the changes in PSPRS at these time points. </w:t>
      </w:r>
      <w:r>
        <w:rPr>
          <w:noProof/>
          <w:lang w:val="en-GB"/>
        </w:rPr>
        <w:t>( graph two)</w:t>
      </w:r>
    </w:p>
    <w:p w:rsidR="000B62F5" w:rsidRDefault="000B62F5"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5F682E" w:rsidRDefault="005F682E" w:rsidP="00F25908">
      <w:pPr>
        <w:spacing w:before="120"/>
        <w:rPr>
          <w:noProof/>
        </w:rPr>
      </w:pPr>
    </w:p>
    <w:p w:rsidR="00F25908" w:rsidRDefault="005F682E" w:rsidP="00F25908">
      <w:pPr>
        <w:spacing w:before="120"/>
        <w:rPr>
          <w:noProof/>
        </w:rPr>
      </w:pPr>
      <w:r w:rsidRPr="005F682E">
        <w:rPr>
          <w:noProof/>
          <w:lang w:val="en-AU" w:eastAsia="en-AU"/>
        </w:rPr>
        <w:drawing>
          <wp:anchor distT="0" distB="0" distL="114300" distR="114300" simplePos="0" relativeHeight="251661312" behindDoc="0" locked="0" layoutInCell="1" allowOverlap="1">
            <wp:simplePos x="0" y="0"/>
            <wp:positionH relativeFrom="column">
              <wp:posOffset>-762000</wp:posOffset>
            </wp:positionH>
            <wp:positionV relativeFrom="paragraph">
              <wp:posOffset>-2762250</wp:posOffset>
            </wp:positionV>
            <wp:extent cx="4314825" cy="3419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908" w:rsidRDefault="00F25908" w:rsidP="00F25908">
      <w:pPr>
        <w:spacing w:before="120"/>
        <w:rPr>
          <w:noProof/>
        </w:rPr>
      </w:pPr>
    </w:p>
    <w:p w:rsidR="00F25908" w:rsidRPr="00354677" w:rsidRDefault="00F25908" w:rsidP="00F25908">
      <w:pPr>
        <w:spacing w:before="120"/>
        <w:rPr>
          <w:noProof/>
        </w:rPr>
      </w:pPr>
    </w:p>
    <w:p w:rsidR="00F25908" w:rsidRDefault="00F25908" w:rsidP="00F21273">
      <w:pPr>
        <w:rPr>
          <w:b/>
        </w:rPr>
      </w:pPr>
    </w:p>
    <w:p w:rsidR="00F25908" w:rsidRDefault="00F25908" w:rsidP="00F21273">
      <w:pPr>
        <w:rPr>
          <w:b/>
        </w:rPr>
      </w:pPr>
    </w:p>
    <w:p w:rsidR="008A5B5B" w:rsidRDefault="00EA39FA">
      <w:r w:rsidRPr="00EA39FA">
        <w:rPr>
          <w:b/>
        </w:rPr>
        <w:t xml:space="preserve">Please include any appropriate photos or </w:t>
      </w:r>
      <w:proofErr w:type="spellStart"/>
      <w:r w:rsidRPr="00EA39FA">
        <w:rPr>
          <w:b/>
        </w:rPr>
        <w:t>diagrams.Please</w:t>
      </w:r>
      <w:proofErr w:type="spellEnd"/>
      <w:r w:rsidRPr="00EA39FA">
        <w:rPr>
          <w:b/>
        </w:rPr>
        <w:t xml:space="preserve"> submit this report as a PDF using the following naming </w:t>
      </w:r>
      <w:proofErr w:type="spellStart"/>
      <w:r w:rsidRPr="00EA39FA">
        <w:rPr>
          <w:b/>
        </w:rPr>
        <w:t>convention</w:t>
      </w:r>
      <w:proofErr w:type="gramStart"/>
      <w:r w:rsidRPr="00EA39FA">
        <w:rPr>
          <w:b/>
        </w:rPr>
        <w:t>:Lastname</w:t>
      </w:r>
      <w:proofErr w:type="spellEnd"/>
      <w:proofErr w:type="gramEnd"/>
      <w:r w:rsidRPr="00EA39FA">
        <w:rPr>
          <w:b/>
        </w:rPr>
        <w:t xml:space="preserve"> </w:t>
      </w:r>
      <w:proofErr w:type="spellStart"/>
      <w:r w:rsidRPr="00EA39FA">
        <w:rPr>
          <w:b/>
        </w:rPr>
        <w:t>Firstname</w:t>
      </w:r>
      <w:proofErr w:type="spellEnd"/>
      <w:r w:rsidRPr="00EA39FA">
        <w:rPr>
          <w:b/>
        </w:rPr>
        <w:t xml:space="preserve"> – Simplified Project Title</w:t>
      </w:r>
    </w:p>
    <w:sectPr w:rsidR="008A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73"/>
    <w:rsid w:val="0001347C"/>
    <w:rsid w:val="00014440"/>
    <w:rsid w:val="00021C75"/>
    <w:rsid w:val="00042EF2"/>
    <w:rsid w:val="00054E39"/>
    <w:rsid w:val="00066420"/>
    <w:rsid w:val="00096EF2"/>
    <w:rsid w:val="00097D8C"/>
    <w:rsid w:val="000B62F5"/>
    <w:rsid w:val="000C2896"/>
    <w:rsid w:val="001015E0"/>
    <w:rsid w:val="00115F25"/>
    <w:rsid w:val="00117A92"/>
    <w:rsid w:val="001365DA"/>
    <w:rsid w:val="00140341"/>
    <w:rsid w:val="00184C82"/>
    <w:rsid w:val="001970DA"/>
    <w:rsid w:val="001A162A"/>
    <w:rsid w:val="001F4E95"/>
    <w:rsid w:val="001F540D"/>
    <w:rsid w:val="00200330"/>
    <w:rsid w:val="00201A79"/>
    <w:rsid w:val="00212054"/>
    <w:rsid w:val="00212C85"/>
    <w:rsid w:val="002234A2"/>
    <w:rsid w:val="00225306"/>
    <w:rsid w:val="0023014E"/>
    <w:rsid w:val="0025552F"/>
    <w:rsid w:val="00267076"/>
    <w:rsid w:val="00270AFA"/>
    <w:rsid w:val="002A674C"/>
    <w:rsid w:val="002B2B63"/>
    <w:rsid w:val="002E20E9"/>
    <w:rsid w:val="002E3EDE"/>
    <w:rsid w:val="002E771D"/>
    <w:rsid w:val="0030247A"/>
    <w:rsid w:val="00312FDA"/>
    <w:rsid w:val="00323F41"/>
    <w:rsid w:val="003818B6"/>
    <w:rsid w:val="003860A5"/>
    <w:rsid w:val="00386BC2"/>
    <w:rsid w:val="0039063F"/>
    <w:rsid w:val="003B4E9F"/>
    <w:rsid w:val="00421951"/>
    <w:rsid w:val="00466705"/>
    <w:rsid w:val="004818B1"/>
    <w:rsid w:val="004E0187"/>
    <w:rsid w:val="004F7109"/>
    <w:rsid w:val="0051324F"/>
    <w:rsid w:val="005279B8"/>
    <w:rsid w:val="00547BC6"/>
    <w:rsid w:val="00563289"/>
    <w:rsid w:val="00575F99"/>
    <w:rsid w:val="00595EBF"/>
    <w:rsid w:val="005A1901"/>
    <w:rsid w:val="005C4550"/>
    <w:rsid w:val="005D30BD"/>
    <w:rsid w:val="005D6A76"/>
    <w:rsid w:val="005F682E"/>
    <w:rsid w:val="0060258F"/>
    <w:rsid w:val="00606D72"/>
    <w:rsid w:val="00637240"/>
    <w:rsid w:val="006548D0"/>
    <w:rsid w:val="00656D75"/>
    <w:rsid w:val="00667236"/>
    <w:rsid w:val="006823C1"/>
    <w:rsid w:val="0068556B"/>
    <w:rsid w:val="006E4878"/>
    <w:rsid w:val="006E63BD"/>
    <w:rsid w:val="007072CD"/>
    <w:rsid w:val="00707E4E"/>
    <w:rsid w:val="00713159"/>
    <w:rsid w:val="00720E55"/>
    <w:rsid w:val="007356E5"/>
    <w:rsid w:val="00766479"/>
    <w:rsid w:val="00781D97"/>
    <w:rsid w:val="00785BD2"/>
    <w:rsid w:val="00785EB4"/>
    <w:rsid w:val="00796DB8"/>
    <w:rsid w:val="007B040D"/>
    <w:rsid w:val="007C25D9"/>
    <w:rsid w:val="007C77F2"/>
    <w:rsid w:val="007D0E96"/>
    <w:rsid w:val="007E58F2"/>
    <w:rsid w:val="007E64C1"/>
    <w:rsid w:val="00827DD2"/>
    <w:rsid w:val="00847F36"/>
    <w:rsid w:val="008738B3"/>
    <w:rsid w:val="008A5B5B"/>
    <w:rsid w:val="008E2683"/>
    <w:rsid w:val="009203B5"/>
    <w:rsid w:val="00927DD1"/>
    <w:rsid w:val="00945CB8"/>
    <w:rsid w:val="00967BBB"/>
    <w:rsid w:val="009C4AF7"/>
    <w:rsid w:val="00A1253E"/>
    <w:rsid w:val="00A245F5"/>
    <w:rsid w:val="00A339B7"/>
    <w:rsid w:val="00A34577"/>
    <w:rsid w:val="00A502FA"/>
    <w:rsid w:val="00AB7835"/>
    <w:rsid w:val="00AC3AA6"/>
    <w:rsid w:val="00AC4744"/>
    <w:rsid w:val="00AD0E63"/>
    <w:rsid w:val="00AE1964"/>
    <w:rsid w:val="00B06407"/>
    <w:rsid w:val="00B36EB1"/>
    <w:rsid w:val="00B3742B"/>
    <w:rsid w:val="00B44422"/>
    <w:rsid w:val="00B46F04"/>
    <w:rsid w:val="00B55834"/>
    <w:rsid w:val="00B55A51"/>
    <w:rsid w:val="00B6408F"/>
    <w:rsid w:val="00B81EED"/>
    <w:rsid w:val="00B860E9"/>
    <w:rsid w:val="00B91D9E"/>
    <w:rsid w:val="00B9227A"/>
    <w:rsid w:val="00BB36F2"/>
    <w:rsid w:val="00BC72F0"/>
    <w:rsid w:val="00C15F76"/>
    <w:rsid w:val="00C2639A"/>
    <w:rsid w:val="00C36941"/>
    <w:rsid w:val="00C57742"/>
    <w:rsid w:val="00C82750"/>
    <w:rsid w:val="00C8418B"/>
    <w:rsid w:val="00C90B84"/>
    <w:rsid w:val="00CA0D4C"/>
    <w:rsid w:val="00CE287B"/>
    <w:rsid w:val="00CF0059"/>
    <w:rsid w:val="00CF6018"/>
    <w:rsid w:val="00D510DB"/>
    <w:rsid w:val="00D55CDF"/>
    <w:rsid w:val="00DB3210"/>
    <w:rsid w:val="00DC2A25"/>
    <w:rsid w:val="00E224F7"/>
    <w:rsid w:val="00E37929"/>
    <w:rsid w:val="00E5562D"/>
    <w:rsid w:val="00E96C22"/>
    <w:rsid w:val="00EA1D76"/>
    <w:rsid w:val="00EA39FA"/>
    <w:rsid w:val="00EA51AC"/>
    <w:rsid w:val="00F21273"/>
    <w:rsid w:val="00F25908"/>
    <w:rsid w:val="00F32C62"/>
    <w:rsid w:val="00F64B62"/>
    <w:rsid w:val="00F72810"/>
    <w:rsid w:val="00FB6624"/>
    <w:rsid w:val="00FB72DE"/>
    <w:rsid w:val="00FC2A2B"/>
    <w:rsid w:val="00FD2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1273"/>
    <w:rPr>
      <w:rFonts w:ascii="Arial" w:hAnsi="Arial" w:cs="Arial"/>
      <w:sz w:val="22"/>
      <w:szCs w:val="22"/>
      <w:lang w:val="en-AU"/>
    </w:rPr>
  </w:style>
  <w:style w:type="paragraph" w:styleId="BalloonText">
    <w:name w:val="Balloon Text"/>
    <w:basedOn w:val="Normal"/>
    <w:link w:val="BalloonTextChar"/>
    <w:uiPriority w:val="99"/>
    <w:semiHidden/>
    <w:unhideWhenUsed/>
    <w:rsid w:val="001015E0"/>
    <w:rPr>
      <w:rFonts w:ascii="Tahoma" w:hAnsi="Tahoma" w:cs="Tahoma"/>
      <w:sz w:val="16"/>
      <w:szCs w:val="16"/>
    </w:rPr>
  </w:style>
  <w:style w:type="character" w:customStyle="1" w:styleId="BalloonTextChar">
    <w:name w:val="Balloon Text Char"/>
    <w:basedOn w:val="DefaultParagraphFont"/>
    <w:link w:val="BalloonText"/>
    <w:uiPriority w:val="99"/>
    <w:semiHidden/>
    <w:rsid w:val="001015E0"/>
    <w:rPr>
      <w:rFonts w:ascii="Tahoma" w:eastAsia="Times New Roman" w:hAnsi="Tahoma" w:cs="Tahoma"/>
      <w:sz w:val="16"/>
      <w:szCs w:val="16"/>
      <w:lang w:val="en-US"/>
    </w:rPr>
  </w:style>
  <w:style w:type="paragraph" w:customStyle="1" w:styleId="Char0">
    <w:name w:val="Char"/>
    <w:basedOn w:val="Normal"/>
    <w:rsid w:val="00F25908"/>
    <w:rPr>
      <w:rFonts w:ascii="Arial" w:hAnsi="Arial" w:cs="Arial"/>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1273"/>
    <w:rPr>
      <w:rFonts w:ascii="Arial" w:hAnsi="Arial" w:cs="Arial"/>
      <w:sz w:val="22"/>
      <w:szCs w:val="22"/>
      <w:lang w:val="en-AU"/>
    </w:rPr>
  </w:style>
  <w:style w:type="paragraph" w:styleId="BalloonText">
    <w:name w:val="Balloon Text"/>
    <w:basedOn w:val="Normal"/>
    <w:link w:val="BalloonTextChar"/>
    <w:uiPriority w:val="99"/>
    <w:semiHidden/>
    <w:unhideWhenUsed/>
    <w:rsid w:val="001015E0"/>
    <w:rPr>
      <w:rFonts w:ascii="Tahoma" w:hAnsi="Tahoma" w:cs="Tahoma"/>
      <w:sz w:val="16"/>
      <w:szCs w:val="16"/>
    </w:rPr>
  </w:style>
  <w:style w:type="character" w:customStyle="1" w:styleId="BalloonTextChar">
    <w:name w:val="Balloon Text Char"/>
    <w:basedOn w:val="DefaultParagraphFont"/>
    <w:link w:val="BalloonText"/>
    <w:uiPriority w:val="99"/>
    <w:semiHidden/>
    <w:rsid w:val="001015E0"/>
    <w:rPr>
      <w:rFonts w:ascii="Tahoma" w:eastAsia="Times New Roman" w:hAnsi="Tahoma" w:cs="Tahoma"/>
      <w:sz w:val="16"/>
      <w:szCs w:val="16"/>
      <w:lang w:val="en-US"/>
    </w:rPr>
  </w:style>
  <w:style w:type="paragraph" w:customStyle="1" w:styleId="Char0">
    <w:name w:val="Char"/>
    <w:basedOn w:val="Normal"/>
    <w:rsid w:val="00F25908"/>
    <w:rPr>
      <w:rFonts w:ascii="Arial" w:hAnsi="Arial" w:cs="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a:pPr>
            <a:r>
              <a:rPr lang="en-AU" sz="500"/>
              <a:t>AVERAGE</a:t>
            </a:r>
            <a:r>
              <a:rPr lang="en-AU" sz="500" baseline="0"/>
              <a:t> MEP</a:t>
            </a:r>
            <a:endParaRPr lang="en-AU" sz="500"/>
          </a:p>
        </c:rich>
      </c:tx>
      <c:layout>
        <c:manualLayout>
          <c:xMode val="edge"/>
          <c:yMode val="edge"/>
          <c:x val="0.12907278596864913"/>
          <c:y val="9.2399252075345412E-2"/>
        </c:manualLayout>
      </c:layout>
      <c:overlay val="0"/>
    </c:title>
    <c:autoTitleDeleted val="0"/>
    <c:plotArea>
      <c:layout/>
      <c:lineChart>
        <c:grouping val="standard"/>
        <c:varyColors val="0"/>
        <c:ser>
          <c:idx val="0"/>
          <c:order val="0"/>
          <c:tx>
            <c:v>BASELINE</c:v>
          </c:tx>
          <c:spPr>
            <a:ln w="25400"/>
          </c:spPr>
          <c:marker>
            <c:symbol val="diamond"/>
            <c:size val="3"/>
          </c:marker>
          <c:val>
            <c:numRef>
              <c:f>'[Chart in Microsoft PowerPoint]9PSP'!$H$16:$J$16</c:f>
              <c:numCache>
                <c:formatCode>0.00</c:formatCode>
                <c:ptCount val="3"/>
                <c:pt idx="0">
                  <c:v>1.1100708439499196</c:v>
                </c:pt>
                <c:pt idx="1">
                  <c:v>1.2133854805364743</c:v>
                </c:pt>
                <c:pt idx="2">
                  <c:v>0.98339184345428621</c:v>
                </c:pt>
              </c:numCache>
            </c:numRef>
          </c:val>
          <c:smooth val="0"/>
        </c:ser>
        <c:ser>
          <c:idx val="1"/>
          <c:order val="1"/>
          <c:tx>
            <c:v>12 MONTHS</c:v>
          </c:tx>
          <c:spPr>
            <a:ln w="25400"/>
          </c:spPr>
          <c:marker>
            <c:symbol val="square"/>
            <c:size val="3"/>
          </c:marker>
          <c:val>
            <c:numRef>
              <c:f>'[Chart in Microsoft PowerPoint]9PSP'!$AD$16:$AF$16</c:f>
              <c:numCache>
                <c:formatCode>0.00</c:formatCode>
                <c:ptCount val="3"/>
                <c:pt idx="0">
                  <c:v>1.282711657920701</c:v>
                </c:pt>
                <c:pt idx="1">
                  <c:v>1.3607415322266754</c:v>
                </c:pt>
                <c:pt idx="2">
                  <c:v>1.2954945026778348</c:v>
                </c:pt>
              </c:numCache>
            </c:numRef>
          </c:val>
          <c:smooth val="0"/>
        </c:ser>
        <c:dLbls>
          <c:showLegendKey val="0"/>
          <c:showVal val="0"/>
          <c:showCatName val="0"/>
          <c:showSerName val="0"/>
          <c:showPercent val="0"/>
          <c:showBubbleSize val="0"/>
        </c:dLbls>
        <c:marker val="1"/>
        <c:smooth val="0"/>
        <c:axId val="86098304"/>
        <c:axId val="86099840"/>
      </c:lineChart>
      <c:catAx>
        <c:axId val="86098304"/>
        <c:scaling>
          <c:orientation val="minMax"/>
        </c:scaling>
        <c:delete val="0"/>
        <c:axPos val="b"/>
        <c:majorTickMark val="none"/>
        <c:minorTickMark val="none"/>
        <c:tickLblPos val="nextTo"/>
        <c:txPr>
          <a:bodyPr/>
          <a:lstStyle/>
          <a:p>
            <a:pPr>
              <a:defRPr sz="300" baseline="0"/>
            </a:pPr>
            <a:endParaRPr lang="en-US"/>
          </a:p>
        </c:txPr>
        <c:crossAx val="86099840"/>
        <c:crosses val="autoZero"/>
        <c:auto val="1"/>
        <c:lblAlgn val="ctr"/>
        <c:lblOffset val="100"/>
        <c:noMultiLvlLbl val="0"/>
      </c:catAx>
      <c:valAx>
        <c:axId val="86099840"/>
        <c:scaling>
          <c:orientation val="minMax"/>
        </c:scaling>
        <c:delete val="0"/>
        <c:axPos val="l"/>
        <c:majorGridlines/>
        <c:title>
          <c:tx>
            <c:rich>
              <a:bodyPr/>
              <a:lstStyle/>
              <a:p>
                <a:pPr>
                  <a:defRPr sz="500"/>
                </a:pPr>
                <a:r>
                  <a:rPr lang="en-AU" sz="500"/>
                  <a:t>MEP SIZE (% MEP AT TIME 0 )</a:t>
                </a:r>
              </a:p>
            </c:rich>
          </c:tx>
          <c:layout>
            <c:manualLayout>
              <c:xMode val="edge"/>
              <c:yMode val="edge"/>
              <c:x val="3.0020305072486035E-2"/>
              <c:y val="0.19614348318503377"/>
            </c:manualLayout>
          </c:layout>
          <c:overlay val="0"/>
        </c:title>
        <c:numFmt formatCode="0.00" sourceLinked="1"/>
        <c:majorTickMark val="none"/>
        <c:minorTickMark val="none"/>
        <c:tickLblPos val="nextTo"/>
        <c:txPr>
          <a:bodyPr/>
          <a:lstStyle/>
          <a:p>
            <a:pPr>
              <a:defRPr sz="400"/>
            </a:pPr>
            <a:endParaRPr lang="en-US"/>
          </a:p>
        </c:txPr>
        <c:crossAx val="86098304"/>
        <c:crosses val="autoZero"/>
        <c:crossBetween val="between"/>
      </c:valAx>
    </c:plotArea>
    <c:legend>
      <c:legendPos val="r"/>
      <c:layout>
        <c:manualLayout>
          <c:xMode val="edge"/>
          <c:yMode val="edge"/>
          <c:x val="0.77243304763895659"/>
          <c:y val="4.5507268322228955E-2"/>
          <c:w val="0.22312092998746408"/>
          <c:h val="0.17023369816082642"/>
        </c:manualLayout>
      </c:layout>
      <c:overlay val="0"/>
      <c:txPr>
        <a:bodyPr/>
        <a:lstStyle/>
        <a:p>
          <a:pPr>
            <a:defRPr sz="50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Caroline</cp:lastModifiedBy>
  <cp:revision>2</cp:revision>
  <dcterms:created xsi:type="dcterms:W3CDTF">2014-07-27T22:57:00Z</dcterms:created>
  <dcterms:modified xsi:type="dcterms:W3CDTF">2014-07-27T22:57:00Z</dcterms:modified>
</cp:coreProperties>
</file>